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12" w:rsidRPr="007C150B" w:rsidRDefault="007C150B" w:rsidP="007C150B">
      <w:pPr>
        <w:jc w:val="center"/>
        <w:rPr>
          <w:rFonts w:ascii="����" w:hAnsi="����" w:hint="eastAsia"/>
          <w:b/>
          <w:bCs/>
          <w:color w:val="D54F2B"/>
          <w:sz w:val="30"/>
          <w:szCs w:val="30"/>
          <w:shd w:val="clear" w:color="auto" w:fill="FFFFFF"/>
        </w:rPr>
      </w:pPr>
      <w:r w:rsidRPr="007C150B">
        <w:rPr>
          <w:rFonts w:ascii="����" w:hAnsi="����"/>
          <w:b/>
          <w:bCs/>
          <w:color w:val="D54F2B"/>
          <w:sz w:val="30"/>
          <w:szCs w:val="30"/>
          <w:shd w:val="clear" w:color="auto" w:fill="FFFFFF"/>
        </w:rPr>
        <w:t>关于明确市本级财政投资项目优质工程增加费计取规定的通知</w:t>
      </w:r>
    </w:p>
    <w:p w:rsidR="007C150B" w:rsidRDefault="007C150B" w:rsidP="007C150B">
      <w:pPr>
        <w:jc w:val="center"/>
        <w:rPr>
          <w:rFonts w:ascii="����" w:hAnsi="����" w:hint="eastAsia"/>
          <w:color w:val="000000"/>
          <w:sz w:val="18"/>
          <w:szCs w:val="18"/>
          <w:shd w:val="clear" w:color="auto" w:fill="FFFFFF"/>
        </w:rPr>
      </w:pPr>
      <w:r>
        <w:rPr>
          <w:rFonts w:ascii="����" w:hAnsi="����"/>
          <w:color w:val="000000"/>
          <w:sz w:val="18"/>
          <w:szCs w:val="18"/>
          <w:shd w:val="clear" w:color="auto" w:fill="FFFFFF"/>
        </w:rPr>
        <w:t>杭财建〔</w:t>
      </w:r>
      <w:r>
        <w:rPr>
          <w:rFonts w:ascii="����" w:hAnsi="����"/>
          <w:color w:val="000000"/>
          <w:sz w:val="18"/>
          <w:szCs w:val="18"/>
          <w:shd w:val="clear" w:color="auto" w:fill="FFFFFF"/>
        </w:rPr>
        <w:t>2013</w:t>
      </w:r>
      <w:r>
        <w:rPr>
          <w:rFonts w:ascii="����" w:hAnsi="����"/>
          <w:color w:val="000000"/>
          <w:sz w:val="18"/>
          <w:szCs w:val="18"/>
          <w:shd w:val="clear" w:color="auto" w:fill="FFFFFF"/>
        </w:rPr>
        <w:t>〕</w:t>
      </w:r>
      <w:r>
        <w:rPr>
          <w:rFonts w:ascii="����" w:hAnsi="����"/>
          <w:color w:val="000000"/>
          <w:sz w:val="18"/>
          <w:szCs w:val="18"/>
          <w:shd w:val="clear" w:color="auto" w:fill="FFFFFF"/>
        </w:rPr>
        <w:t>687</w:t>
      </w:r>
      <w:r>
        <w:rPr>
          <w:rFonts w:ascii="����" w:hAnsi="����"/>
          <w:color w:val="000000"/>
          <w:sz w:val="18"/>
          <w:szCs w:val="18"/>
          <w:shd w:val="clear" w:color="auto" w:fill="FFFFFF"/>
        </w:rPr>
        <w:t>号</w:t>
      </w:r>
    </w:p>
    <w:p w:rsidR="007C150B" w:rsidRPr="007C150B" w:rsidRDefault="007C150B" w:rsidP="007C150B">
      <w:pPr>
        <w:widowControl/>
        <w:shd w:val="clear" w:color="auto" w:fill="FFFFFF"/>
        <w:adjustRightInd w:val="0"/>
        <w:snapToGrid w:val="0"/>
        <w:spacing w:line="360" w:lineRule="auto"/>
        <w:jc w:val="left"/>
        <w:rPr>
          <w:rFonts w:ascii="����" w:eastAsia="宋体" w:hAnsi="����" w:cs="宋体"/>
          <w:color w:val="000000"/>
          <w:kern w:val="0"/>
          <w:sz w:val="24"/>
          <w:szCs w:val="24"/>
        </w:rPr>
      </w:pPr>
      <w:r w:rsidRPr="007C150B">
        <w:rPr>
          <w:rFonts w:ascii="����" w:eastAsia="宋体" w:hAnsi="����" w:cs="宋体"/>
          <w:color w:val="000000"/>
          <w:kern w:val="0"/>
          <w:sz w:val="24"/>
          <w:szCs w:val="24"/>
        </w:rPr>
        <w:t>各有关单位：</w:t>
      </w:r>
      <w:r w:rsidRPr="007C150B">
        <w:rPr>
          <w:rFonts w:ascii="����" w:eastAsia="宋体" w:hAnsi="����" w:cs="宋体"/>
          <w:color w:val="000000"/>
          <w:kern w:val="0"/>
          <w:sz w:val="24"/>
          <w:szCs w:val="24"/>
        </w:rPr>
        <w:br/>
      </w:r>
      <w:r w:rsidRPr="007C150B">
        <w:rPr>
          <w:rFonts w:ascii="����" w:eastAsia="宋体" w:hAnsi="����" w:cs="宋体"/>
          <w:color w:val="000000"/>
          <w:kern w:val="0"/>
          <w:sz w:val="24"/>
          <w:szCs w:val="24"/>
        </w:rPr>
        <w:t xml:space="preserve">　　根据《关于进一步明确杭州市建设工程优质工程增加费计取规定的通知》（杭建市【</w:t>
      </w:r>
      <w:r w:rsidRPr="007C150B">
        <w:rPr>
          <w:rFonts w:ascii="����" w:eastAsia="宋体" w:hAnsi="����" w:cs="宋体"/>
          <w:color w:val="000000"/>
          <w:kern w:val="0"/>
          <w:sz w:val="24"/>
          <w:szCs w:val="24"/>
        </w:rPr>
        <w:t>2012</w:t>
      </w:r>
      <w:r w:rsidRPr="007C150B">
        <w:rPr>
          <w:rFonts w:ascii="����" w:eastAsia="宋体" w:hAnsi="����" w:cs="宋体"/>
          <w:color w:val="000000"/>
          <w:kern w:val="0"/>
          <w:sz w:val="24"/>
          <w:szCs w:val="24"/>
        </w:rPr>
        <w:t>】</w:t>
      </w:r>
      <w:r w:rsidRPr="007C150B">
        <w:rPr>
          <w:rFonts w:ascii="����" w:eastAsia="宋体" w:hAnsi="����" w:cs="宋体"/>
          <w:color w:val="000000"/>
          <w:kern w:val="0"/>
          <w:sz w:val="24"/>
          <w:szCs w:val="24"/>
        </w:rPr>
        <w:t>240</w:t>
      </w:r>
      <w:r w:rsidRPr="007C150B">
        <w:rPr>
          <w:rFonts w:ascii="����" w:eastAsia="宋体" w:hAnsi="����" w:cs="宋体"/>
          <w:color w:val="000000"/>
          <w:kern w:val="0"/>
          <w:sz w:val="24"/>
          <w:szCs w:val="24"/>
        </w:rPr>
        <w:t>号）精神，现将市本级财政投资建设项目优质工程增加费的计取方法明确如下，请遵照执行。</w:t>
      </w:r>
      <w:r w:rsidRPr="007C150B">
        <w:rPr>
          <w:rFonts w:ascii="����" w:eastAsia="宋体" w:hAnsi="����" w:cs="宋体"/>
          <w:color w:val="000000"/>
          <w:kern w:val="0"/>
          <w:sz w:val="24"/>
          <w:szCs w:val="24"/>
        </w:rPr>
        <w:br/>
      </w:r>
      <w:r w:rsidRPr="007C150B">
        <w:rPr>
          <w:rFonts w:ascii="����" w:eastAsia="宋体" w:hAnsi="����" w:cs="宋体"/>
          <w:color w:val="000000"/>
          <w:kern w:val="0"/>
          <w:sz w:val="24"/>
          <w:szCs w:val="24"/>
        </w:rPr>
        <w:t xml:space="preserve">　　一、本通知所指的市本级财政投资项目，是指由市本级财政预算安排或纳入财政管理专项建设资金以及市级做地主体利用土地金安排的基本建设项目。</w:t>
      </w:r>
      <w:r w:rsidRPr="007C150B">
        <w:rPr>
          <w:rFonts w:ascii="����" w:eastAsia="宋体" w:hAnsi="����" w:cs="宋体"/>
          <w:color w:val="000000"/>
          <w:kern w:val="0"/>
          <w:sz w:val="24"/>
          <w:szCs w:val="24"/>
        </w:rPr>
        <w:br/>
      </w:r>
      <w:r w:rsidRPr="007C150B">
        <w:rPr>
          <w:rFonts w:ascii="����" w:eastAsia="宋体" w:hAnsi="����" w:cs="宋体"/>
          <w:color w:val="000000"/>
          <w:kern w:val="0"/>
          <w:sz w:val="24"/>
          <w:szCs w:val="24"/>
        </w:rPr>
        <w:t xml:space="preserve">　　二、市本级财政投资项目的优质工程增加费实行费率和额度双重控制，计取费用最高不得超过以下额度：获得国家级优质奖项的工程为</w:t>
      </w:r>
      <w:r w:rsidRPr="007C150B">
        <w:rPr>
          <w:rFonts w:ascii="����" w:eastAsia="宋体" w:hAnsi="����" w:cs="宋体"/>
          <w:color w:val="000000"/>
          <w:kern w:val="0"/>
          <w:sz w:val="24"/>
          <w:szCs w:val="24"/>
        </w:rPr>
        <w:t>100</w:t>
      </w:r>
      <w:r w:rsidRPr="007C150B">
        <w:rPr>
          <w:rFonts w:ascii="����" w:eastAsia="宋体" w:hAnsi="����" w:cs="宋体"/>
          <w:color w:val="000000"/>
          <w:kern w:val="0"/>
          <w:sz w:val="24"/>
          <w:szCs w:val="24"/>
        </w:rPr>
        <w:t>万元；获得省级优质奖项的工程为</w:t>
      </w:r>
      <w:r w:rsidRPr="007C150B">
        <w:rPr>
          <w:rFonts w:ascii="����" w:eastAsia="宋体" w:hAnsi="����" w:cs="宋体"/>
          <w:color w:val="000000"/>
          <w:kern w:val="0"/>
          <w:sz w:val="24"/>
          <w:szCs w:val="24"/>
        </w:rPr>
        <w:t>30</w:t>
      </w:r>
      <w:r w:rsidRPr="007C150B">
        <w:rPr>
          <w:rFonts w:ascii="����" w:eastAsia="宋体" w:hAnsi="����" w:cs="宋体"/>
          <w:color w:val="000000"/>
          <w:kern w:val="0"/>
          <w:sz w:val="24"/>
          <w:szCs w:val="24"/>
        </w:rPr>
        <w:t>万元；获得市级优质奖项的工程为</w:t>
      </w:r>
      <w:r w:rsidRPr="007C150B">
        <w:rPr>
          <w:rFonts w:ascii="����" w:eastAsia="宋体" w:hAnsi="����" w:cs="宋体"/>
          <w:color w:val="000000"/>
          <w:kern w:val="0"/>
          <w:sz w:val="24"/>
          <w:szCs w:val="24"/>
        </w:rPr>
        <w:t>10</w:t>
      </w:r>
      <w:r w:rsidRPr="007C150B">
        <w:rPr>
          <w:rFonts w:ascii="����" w:eastAsia="宋体" w:hAnsi="����" w:cs="宋体"/>
          <w:color w:val="000000"/>
          <w:kern w:val="0"/>
          <w:sz w:val="24"/>
          <w:szCs w:val="24"/>
        </w:rPr>
        <w:t>万元。优质工程增加费费率标准详见附件一。</w:t>
      </w:r>
      <w:r w:rsidRPr="007C150B">
        <w:rPr>
          <w:rFonts w:ascii="����" w:eastAsia="宋体" w:hAnsi="����" w:cs="宋体"/>
          <w:color w:val="000000"/>
          <w:kern w:val="0"/>
          <w:sz w:val="24"/>
          <w:szCs w:val="24"/>
        </w:rPr>
        <w:br/>
      </w:r>
      <w:r w:rsidRPr="007C150B">
        <w:rPr>
          <w:rFonts w:ascii="����" w:eastAsia="宋体" w:hAnsi="����" w:cs="宋体"/>
          <w:color w:val="000000"/>
          <w:kern w:val="0"/>
          <w:sz w:val="24"/>
          <w:szCs w:val="24"/>
        </w:rPr>
        <w:t xml:space="preserve">　　三、对发文之日前已批复竣工财务决算的工程不予计取。对未批复竣工财务决算的工程，其合同条款中未约定计取优良工程增加费实际获得专业奖项的，其优质工程增加费按本通知标准的</w:t>
      </w:r>
      <w:r w:rsidRPr="007C150B">
        <w:rPr>
          <w:rFonts w:ascii="����" w:eastAsia="宋体" w:hAnsi="����" w:cs="宋体"/>
          <w:color w:val="000000"/>
          <w:kern w:val="0"/>
          <w:sz w:val="24"/>
          <w:szCs w:val="24"/>
        </w:rPr>
        <w:t>50%</w:t>
      </w:r>
      <w:r w:rsidRPr="007C150B">
        <w:rPr>
          <w:rFonts w:ascii="����" w:eastAsia="宋体" w:hAnsi="����" w:cs="宋体"/>
          <w:color w:val="000000"/>
          <w:kern w:val="0"/>
          <w:sz w:val="24"/>
          <w:szCs w:val="24"/>
        </w:rPr>
        <w:t>计取；对合同条款中约定计取优良工程增加费实际获得专业奖项的，其优质工程增加费按本通知精神计取。</w:t>
      </w:r>
      <w:r w:rsidRPr="007C150B">
        <w:rPr>
          <w:rFonts w:ascii="����" w:eastAsia="宋体" w:hAnsi="����" w:cs="宋体"/>
          <w:color w:val="000000"/>
          <w:kern w:val="0"/>
          <w:sz w:val="24"/>
          <w:szCs w:val="24"/>
        </w:rPr>
        <w:br/>
      </w:r>
      <w:r w:rsidRPr="007C150B">
        <w:rPr>
          <w:rFonts w:ascii="����" w:eastAsia="宋体" w:hAnsi="����" w:cs="宋体"/>
          <w:color w:val="000000"/>
          <w:kern w:val="0"/>
          <w:sz w:val="24"/>
          <w:szCs w:val="24"/>
        </w:rPr>
        <w:t xml:space="preserve">　　四、对通知执行之日起尚未招标的建设工程，应按本通知精神，在招标文件和合同专用条款中约定优质工程增加费的计取标准和方法，对未明确约定的，在办理财务决算时将不予计取。</w:t>
      </w:r>
      <w:r w:rsidRPr="007C150B">
        <w:rPr>
          <w:rFonts w:ascii="����" w:eastAsia="宋体" w:hAnsi="����" w:cs="宋体"/>
          <w:color w:val="000000"/>
          <w:kern w:val="0"/>
          <w:sz w:val="24"/>
          <w:szCs w:val="24"/>
        </w:rPr>
        <w:br/>
      </w:r>
      <w:r w:rsidRPr="007C150B">
        <w:rPr>
          <w:rFonts w:ascii="����" w:eastAsia="宋体" w:hAnsi="����" w:cs="宋体"/>
          <w:color w:val="000000"/>
          <w:kern w:val="0"/>
          <w:sz w:val="24"/>
          <w:szCs w:val="24"/>
        </w:rPr>
        <w:t xml:space="preserve">　　五、本通知同《关于进一步明确杭州市建设工程优质工程增加费计取规定的通知》（杭建市〔</w:t>
      </w:r>
      <w:r w:rsidRPr="007C150B">
        <w:rPr>
          <w:rFonts w:ascii="����" w:eastAsia="宋体" w:hAnsi="����" w:cs="宋体"/>
          <w:color w:val="000000"/>
          <w:kern w:val="0"/>
          <w:sz w:val="24"/>
          <w:szCs w:val="24"/>
        </w:rPr>
        <w:t>2012</w:t>
      </w:r>
      <w:r w:rsidRPr="007C150B">
        <w:rPr>
          <w:rFonts w:ascii="����" w:eastAsia="宋体" w:hAnsi="����" w:cs="宋体"/>
          <w:color w:val="000000"/>
          <w:kern w:val="0"/>
          <w:sz w:val="24"/>
          <w:szCs w:val="24"/>
        </w:rPr>
        <w:t>〕</w:t>
      </w:r>
      <w:r w:rsidRPr="007C150B">
        <w:rPr>
          <w:rFonts w:ascii="����" w:eastAsia="宋体" w:hAnsi="����" w:cs="宋体"/>
          <w:color w:val="000000"/>
          <w:kern w:val="0"/>
          <w:sz w:val="24"/>
          <w:szCs w:val="24"/>
        </w:rPr>
        <w:t>240</w:t>
      </w:r>
      <w:r w:rsidRPr="007C150B">
        <w:rPr>
          <w:rFonts w:ascii="����" w:eastAsia="宋体" w:hAnsi="����" w:cs="宋体"/>
          <w:color w:val="000000"/>
          <w:kern w:val="0"/>
          <w:sz w:val="24"/>
          <w:szCs w:val="24"/>
        </w:rPr>
        <w:t>号）同步执行。</w:t>
      </w:r>
    </w:p>
    <w:p w:rsidR="007C150B" w:rsidRPr="007C150B" w:rsidRDefault="007C150B" w:rsidP="007C150B">
      <w:pPr>
        <w:widowControl/>
        <w:shd w:val="clear" w:color="auto" w:fill="FFFFFF"/>
        <w:adjustRightInd w:val="0"/>
        <w:snapToGrid w:val="0"/>
        <w:spacing w:line="360" w:lineRule="auto"/>
        <w:ind w:right="360"/>
        <w:jc w:val="right"/>
        <w:rPr>
          <w:rFonts w:ascii="����" w:eastAsia="宋体" w:hAnsi="����" w:cs="宋体"/>
          <w:color w:val="000000"/>
          <w:kern w:val="0"/>
          <w:sz w:val="24"/>
          <w:szCs w:val="24"/>
        </w:rPr>
      </w:pPr>
      <w:r w:rsidRPr="007C150B">
        <w:rPr>
          <w:rFonts w:ascii="����" w:eastAsia="宋体" w:hAnsi="����" w:cs="宋体"/>
          <w:color w:val="000000"/>
          <w:kern w:val="0"/>
          <w:sz w:val="24"/>
          <w:szCs w:val="24"/>
        </w:rPr>
        <w:t>杭州市财政局</w:t>
      </w:r>
      <w:r>
        <w:rPr>
          <w:rFonts w:ascii="����" w:eastAsia="宋体" w:hAnsi="����" w:cs="宋体" w:hint="eastAsia"/>
          <w:color w:val="000000"/>
          <w:kern w:val="0"/>
          <w:sz w:val="24"/>
          <w:szCs w:val="24"/>
        </w:rPr>
        <w:t xml:space="preserve">    </w:t>
      </w:r>
      <w:r w:rsidRPr="007C150B">
        <w:rPr>
          <w:rFonts w:ascii="����" w:eastAsia="宋体" w:hAnsi="����" w:cs="宋体"/>
          <w:color w:val="000000"/>
          <w:kern w:val="0"/>
          <w:sz w:val="24"/>
          <w:szCs w:val="24"/>
        </w:rPr>
        <w:t>杭州市城乡建设委员会</w:t>
      </w:r>
      <w:r w:rsidRPr="007C150B">
        <w:rPr>
          <w:rFonts w:ascii="����" w:eastAsia="宋体" w:hAnsi="����" w:cs="宋体"/>
          <w:color w:val="000000"/>
          <w:kern w:val="0"/>
          <w:sz w:val="24"/>
          <w:szCs w:val="24"/>
        </w:rPr>
        <w:br/>
      </w:r>
      <w:r w:rsidRPr="007C150B">
        <w:rPr>
          <w:rFonts w:ascii="����" w:eastAsia="宋体" w:hAnsi="����" w:cs="宋体"/>
          <w:color w:val="000000"/>
          <w:kern w:val="0"/>
          <w:sz w:val="24"/>
          <w:szCs w:val="24"/>
        </w:rPr>
        <w:t>二〇一三年十月十四日</w:t>
      </w:r>
    </w:p>
    <w:p w:rsidR="007C150B" w:rsidRPr="007C150B" w:rsidRDefault="007C150B" w:rsidP="007C150B">
      <w:pPr>
        <w:widowControl/>
        <w:shd w:val="clear" w:color="auto" w:fill="FFFFFF"/>
        <w:adjustRightInd w:val="0"/>
        <w:snapToGrid w:val="0"/>
        <w:jc w:val="left"/>
        <w:rPr>
          <w:rFonts w:ascii="����" w:eastAsia="宋体" w:hAnsi="����" w:cs="宋体"/>
          <w:color w:val="000000"/>
          <w:kern w:val="0"/>
          <w:sz w:val="24"/>
          <w:szCs w:val="24"/>
        </w:rPr>
      </w:pPr>
      <w:r w:rsidRPr="007C150B">
        <w:rPr>
          <w:rFonts w:ascii="����" w:eastAsia="宋体" w:hAnsi="����" w:cs="宋体"/>
          <w:color w:val="000000"/>
          <w:kern w:val="0"/>
          <w:sz w:val="24"/>
          <w:szCs w:val="24"/>
        </w:rPr>
        <w:t>附件一：</w:t>
      </w:r>
    </w:p>
    <w:p w:rsidR="007C150B" w:rsidRPr="007C150B" w:rsidRDefault="007C150B" w:rsidP="007C150B">
      <w:pPr>
        <w:widowControl/>
        <w:shd w:val="clear" w:color="auto" w:fill="FFFFFF"/>
        <w:adjustRightInd w:val="0"/>
        <w:snapToGrid w:val="0"/>
        <w:jc w:val="center"/>
        <w:rPr>
          <w:rFonts w:ascii="����" w:eastAsia="宋体" w:hAnsi="����" w:cs="宋体"/>
          <w:color w:val="000000"/>
          <w:kern w:val="0"/>
          <w:sz w:val="18"/>
          <w:szCs w:val="18"/>
        </w:rPr>
      </w:pPr>
      <w:r w:rsidRPr="007C150B">
        <w:rPr>
          <w:rFonts w:ascii="����" w:eastAsia="宋体" w:hAnsi="����" w:cs="宋体"/>
          <w:b/>
          <w:bCs/>
          <w:color w:val="000000"/>
          <w:kern w:val="0"/>
          <w:sz w:val="18"/>
        </w:rPr>
        <w:t>优质工程增加费费用计取标准</w:t>
      </w:r>
    </w:p>
    <w:tbl>
      <w:tblPr>
        <w:tblW w:w="892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647"/>
        <w:gridCol w:w="1973"/>
        <w:gridCol w:w="2489"/>
        <w:gridCol w:w="1296"/>
        <w:gridCol w:w="1260"/>
        <w:gridCol w:w="1260"/>
      </w:tblGrid>
      <w:tr w:rsidR="007C150B" w:rsidRPr="007C150B" w:rsidTr="007C150B">
        <w:trPr>
          <w:trHeight w:val="361"/>
          <w:jc w:val="center"/>
        </w:trPr>
        <w:tc>
          <w:tcPr>
            <w:tcW w:w="6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序号</w:t>
            </w:r>
          </w:p>
        </w:tc>
        <w:tc>
          <w:tcPr>
            <w:tcW w:w="19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专业工程</w:t>
            </w:r>
          </w:p>
        </w:tc>
        <w:tc>
          <w:tcPr>
            <w:tcW w:w="24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计算基数</w:t>
            </w:r>
          </w:p>
        </w:tc>
        <w:tc>
          <w:tcPr>
            <w:tcW w:w="381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费率（%）</w:t>
            </w:r>
          </w:p>
        </w:tc>
      </w:tr>
      <w:tr w:rsidR="007C150B" w:rsidRPr="007C150B" w:rsidTr="007C150B">
        <w:trPr>
          <w:trHeight w:val="31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C150B" w:rsidRPr="007C150B" w:rsidRDefault="007C150B" w:rsidP="007C150B">
            <w:pPr>
              <w:widowControl/>
              <w:adjustRightInd w:val="0"/>
              <w:snapToGrid w:val="0"/>
              <w:jc w:val="left"/>
              <w:rPr>
                <w:rFonts w:ascii="宋体" w:eastAsia="宋体" w:hAnsi="宋体" w:cs="宋体"/>
                <w:kern w:val="0"/>
                <w:sz w:val="18"/>
                <w:szCs w:val="18"/>
              </w:rPr>
            </w:pPr>
          </w:p>
        </w:tc>
        <w:tc>
          <w:tcPr>
            <w:tcW w:w="1973" w:type="dxa"/>
            <w:vMerge/>
            <w:tcBorders>
              <w:top w:val="single" w:sz="8" w:space="0" w:color="auto"/>
              <w:left w:val="nil"/>
              <w:bottom w:val="single" w:sz="8" w:space="0" w:color="auto"/>
              <w:right w:val="single" w:sz="8" w:space="0" w:color="auto"/>
            </w:tcBorders>
            <w:vAlign w:val="center"/>
            <w:hideMark/>
          </w:tcPr>
          <w:p w:rsidR="007C150B" w:rsidRPr="007C150B" w:rsidRDefault="007C150B" w:rsidP="007C150B">
            <w:pPr>
              <w:widowControl/>
              <w:adjustRightInd w:val="0"/>
              <w:snapToGrid w:val="0"/>
              <w:jc w:val="left"/>
              <w:rPr>
                <w:rFonts w:ascii="宋体" w:eastAsia="宋体" w:hAnsi="宋体" w:cs="宋体"/>
                <w:kern w:val="0"/>
                <w:sz w:val="18"/>
                <w:szCs w:val="18"/>
              </w:rPr>
            </w:pPr>
          </w:p>
        </w:tc>
        <w:tc>
          <w:tcPr>
            <w:tcW w:w="2489" w:type="dxa"/>
            <w:vMerge/>
            <w:tcBorders>
              <w:top w:val="single" w:sz="8" w:space="0" w:color="auto"/>
              <w:left w:val="nil"/>
              <w:bottom w:val="single" w:sz="8" w:space="0" w:color="auto"/>
              <w:right w:val="single" w:sz="8" w:space="0" w:color="auto"/>
            </w:tcBorders>
            <w:vAlign w:val="center"/>
            <w:hideMark/>
          </w:tcPr>
          <w:p w:rsidR="007C150B" w:rsidRPr="007C150B" w:rsidRDefault="007C150B" w:rsidP="007C150B">
            <w:pPr>
              <w:widowControl/>
              <w:adjustRightInd w:val="0"/>
              <w:snapToGrid w:val="0"/>
              <w:jc w:val="left"/>
              <w:rPr>
                <w:rFonts w:ascii="宋体" w:eastAsia="宋体" w:hAnsi="宋体" w:cs="宋体"/>
                <w:kern w:val="0"/>
                <w:sz w:val="18"/>
                <w:szCs w:val="18"/>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下限</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中值</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上限</w:t>
            </w:r>
          </w:p>
        </w:tc>
      </w:tr>
      <w:tr w:rsidR="007C150B" w:rsidRPr="007C150B" w:rsidTr="007C150B">
        <w:trPr>
          <w:trHeight w:val="498"/>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建筑工程</w:t>
            </w:r>
          </w:p>
        </w:tc>
        <w:tc>
          <w:tcPr>
            <w:tcW w:w="2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优质工程增加费前工程造价</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4</w:t>
            </w:r>
          </w:p>
        </w:tc>
      </w:tr>
      <w:tr w:rsidR="007C150B" w:rsidRPr="007C150B" w:rsidTr="007C150B">
        <w:trPr>
          <w:trHeight w:val="392"/>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2</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安装工程</w:t>
            </w:r>
          </w:p>
        </w:tc>
        <w:tc>
          <w:tcPr>
            <w:tcW w:w="2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人工费+机械费</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9</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15</w:t>
            </w:r>
          </w:p>
        </w:tc>
      </w:tr>
      <w:tr w:rsidR="007C150B" w:rsidRPr="007C150B" w:rsidTr="007C150B">
        <w:trPr>
          <w:trHeight w:val="567"/>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3</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市政工程</w:t>
            </w:r>
          </w:p>
        </w:tc>
        <w:tc>
          <w:tcPr>
            <w:tcW w:w="2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优质工程增加费前工程造价</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3</w:t>
            </w:r>
          </w:p>
        </w:tc>
      </w:tr>
      <w:tr w:rsidR="007C150B" w:rsidRPr="007C150B" w:rsidTr="007C150B">
        <w:trPr>
          <w:trHeight w:val="494"/>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4</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园林绿化及仿古建筑</w:t>
            </w:r>
          </w:p>
        </w:tc>
        <w:tc>
          <w:tcPr>
            <w:tcW w:w="2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优质工程增加费前工程造价</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1.25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150B" w:rsidRPr="007C150B" w:rsidRDefault="007C150B" w:rsidP="007C150B">
            <w:pPr>
              <w:widowControl/>
              <w:adjustRightInd w:val="0"/>
              <w:snapToGrid w:val="0"/>
              <w:jc w:val="center"/>
              <w:rPr>
                <w:rFonts w:ascii="宋体" w:eastAsia="宋体" w:hAnsi="宋体" w:cs="宋体"/>
                <w:kern w:val="0"/>
                <w:sz w:val="18"/>
                <w:szCs w:val="18"/>
              </w:rPr>
            </w:pPr>
            <w:r w:rsidRPr="007C150B">
              <w:rPr>
                <w:rFonts w:ascii="楷体_GB2312" w:eastAsia="楷体_GB2312" w:hAnsi="宋体" w:cs="宋体" w:hint="eastAsia"/>
                <w:kern w:val="0"/>
                <w:sz w:val="18"/>
                <w:szCs w:val="18"/>
              </w:rPr>
              <w:t>1.50</w:t>
            </w:r>
          </w:p>
        </w:tc>
      </w:tr>
    </w:tbl>
    <w:p w:rsidR="007C150B" w:rsidRDefault="007C150B" w:rsidP="007C150B">
      <w:pPr>
        <w:adjustRightInd w:val="0"/>
        <w:snapToGrid w:val="0"/>
      </w:pPr>
    </w:p>
    <w:sectPr w:rsidR="007C150B" w:rsidSect="007C150B">
      <w:pgSz w:w="11906" w:h="16838"/>
      <w:pgMar w:top="1440" w:right="1274"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150B"/>
    <w:rsid w:val="00020118"/>
    <w:rsid w:val="000603F1"/>
    <w:rsid w:val="000C575F"/>
    <w:rsid w:val="003D66DB"/>
    <w:rsid w:val="004F0012"/>
    <w:rsid w:val="004F6087"/>
    <w:rsid w:val="005F7AD4"/>
    <w:rsid w:val="0061329A"/>
    <w:rsid w:val="00622046"/>
    <w:rsid w:val="0066309A"/>
    <w:rsid w:val="00796B05"/>
    <w:rsid w:val="007C150B"/>
    <w:rsid w:val="0086561A"/>
    <w:rsid w:val="008A370E"/>
    <w:rsid w:val="00BA20AB"/>
    <w:rsid w:val="00C4488A"/>
    <w:rsid w:val="00CD51D5"/>
    <w:rsid w:val="00DF2966"/>
    <w:rsid w:val="00F5524F"/>
    <w:rsid w:val="00FE12AE"/>
    <w:rsid w:val="00FF6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5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150B"/>
    <w:rPr>
      <w:b/>
      <w:bCs/>
    </w:rPr>
  </w:style>
</w:styles>
</file>

<file path=word/webSettings.xml><?xml version="1.0" encoding="utf-8"?>
<w:webSettings xmlns:r="http://schemas.openxmlformats.org/officeDocument/2006/relationships" xmlns:w="http://schemas.openxmlformats.org/wordprocessingml/2006/main">
  <w:divs>
    <w:div w:id="1656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685</Characters>
  <Application>Microsoft Office Word</Application>
  <DocSecurity>0</DocSecurity>
  <Lines>5</Lines>
  <Paragraphs>1</Paragraphs>
  <ScaleCrop>false</ScaleCrop>
  <Company>BBS.SUDA123.COM</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dc:creator>
  <cp:lastModifiedBy>SUDA</cp:lastModifiedBy>
  <cp:revision>1</cp:revision>
  <dcterms:created xsi:type="dcterms:W3CDTF">2014-04-20T03:45:00Z</dcterms:created>
  <dcterms:modified xsi:type="dcterms:W3CDTF">2014-04-20T03:49:00Z</dcterms:modified>
</cp:coreProperties>
</file>